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7EC7D" w14:textId="77777777" w:rsidR="006A25D3" w:rsidRPr="006A25D3" w:rsidRDefault="006A25D3" w:rsidP="006A25D3">
      <w:pPr>
        <w:tabs>
          <w:tab w:val="clear" w:pos="567"/>
          <w:tab w:val="clear" w:pos="1134"/>
        </w:tabs>
        <w:autoSpaceDE w:val="0"/>
        <w:autoSpaceDN w:val="0"/>
        <w:adjustRightInd w:val="0"/>
        <w:spacing w:after="0"/>
        <w:jc w:val="center"/>
        <w:rPr>
          <w:rFonts w:ascii="FuturaBT-Heavy" w:hAnsi="FuturaBT-Heavy"/>
          <w:color w:val="000073"/>
          <w:sz w:val="2"/>
          <w:szCs w:val="2"/>
          <w:lang w:eastAsia="fr-FR"/>
        </w:rPr>
      </w:pPr>
    </w:p>
    <w:tbl>
      <w:tblPr>
        <w:tblStyle w:val="Grilledutableau"/>
        <w:tblW w:w="1038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2733"/>
      </w:tblGrid>
      <w:tr w:rsidR="006A25D3" w:rsidRPr="004344D6" w14:paraId="1D2AA670" w14:textId="77777777" w:rsidTr="006A25D3">
        <w:tc>
          <w:tcPr>
            <w:tcW w:w="7655" w:type="dxa"/>
            <w:vMerge w:val="restart"/>
          </w:tcPr>
          <w:p w14:paraId="03384351" w14:textId="77777777" w:rsidR="006A25D3" w:rsidRPr="004344D6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Heavy" w:hAnsi="FuturaBT-Heavy"/>
                <w:sz w:val="42"/>
                <w:lang w:eastAsia="fr-FR"/>
              </w:rPr>
            </w:pPr>
            <w:r w:rsidRPr="004344D6">
              <w:rPr>
                <w:rFonts w:ascii="FuturaBT-Heavy" w:hAnsi="FuturaBT-Heavy"/>
                <w:sz w:val="42"/>
                <w:lang w:eastAsia="fr-FR"/>
              </w:rPr>
              <w:t xml:space="preserve">LES 10 RÈGLES POUR L’UTILISATION DES </w:t>
            </w:r>
            <w:r w:rsidR="00C91CBD">
              <w:rPr>
                <w:rFonts w:ascii="FuturaBT-Heavy" w:hAnsi="FuturaBT-Heavy"/>
                <w:sz w:val="42"/>
                <w:lang w:eastAsia="fr-FR"/>
              </w:rPr>
              <w:t>SYSTEMES INDUSTRIELS</w:t>
            </w:r>
          </w:p>
          <w:p w14:paraId="207B2DFB" w14:textId="77777777" w:rsidR="006A25D3" w:rsidRPr="00CB479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Heavy" w:hAnsi="FuturaBT-Heavy"/>
                <w:color w:val="000073"/>
                <w:sz w:val="26"/>
                <w:lang w:eastAsia="fr-FR"/>
              </w:rPr>
            </w:pPr>
          </w:p>
          <w:p w14:paraId="309FA877" w14:textId="77777777" w:rsidR="006A25D3" w:rsidRPr="004344D6" w:rsidRDefault="006A25D3" w:rsidP="005157B9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left="318" w:right="311" w:hanging="318"/>
              <w:jc w:val="left"/>
              <w:rPr>
                <w:rFonts w:ascii="FuturaBT-Light" w:hAnsi="FuturaBT-Light" w:cs="FuturaBT-Light"/>
                <w:sz w:val="28"/>
                <w:szCs w:val="28"/>
                <w:lang w:eastAsia="fr-FR"/>
              </w:rPr>
            </w:pPr>
            <w:r w:rsidRPr="004344D6">
              <w:rPr>
                <w:rFonts w:ascii="FuturaBT-Light" w:hAnsi="FuturaBT-Light" w:cs="FuturaBT-Light"/>
                <w:color w:val="3366FF"/>
                <w:sz w:val="28"/>
                <w:szCs w:val="28"/>
                <w:lang w:eastAsia="fr-FR"/>
              </w:rPr>
              <w:t>1 -</w:t>
            </w:r>
            <w:r w:rsidRPr="004344D6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Verrouiller ou fermer les sessions lorsque vous quittez u</w:t>
            </w:r>
            <w:r w:rsidR="005157B9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>ne station ou un écran tactile.</w:t>
            </w:r>
          </w:p>
          <w:p w14:paraId="780EA323" w14:textId="77777777" w:rsidR="006A25D3" w:rsidRPr="00CB479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right="311"/>
              <w:rPr>
                <w:rFonts w:ascii="FuturaBT-Light" w:hAnsi="FuturaBT-Light" w:cs="FuturaBT-Light"/>
                <w:sz w:val="26"/>
                <w:szCs w:val="28"/>
                <w:lang w:eastAsia="fr-FR"/>
              </w:rPr>
            </w:pPr>
          </w:p>
          <w:p w14:paraId="6495619C" w14:textId="77777777" w:rsidR="006A25D3" w:rsidRPr="004344D6" w:rsidRDefault="005157B9" w:rsidP="005157B9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right="311"/>
              <w:jc w:val="left"/>
              <w:rPr>
                <w:rFonts w:ascii="FuturaBT-Light" w:hAnsi="FuturaBT-Light" w:cs="FuturaBT-Light"/>
                <w:sz w:val="28"/>
                <w:szCs w:val="28"/>
                <w:lang w:eastAsia="fr-FR"/>
              </w:rPr>
            </w:pPr>
            <w:r>
              <w:rPr>
                <w:rFonts w:ascii="FuturaBT-Light" w:hAnsi="FuturaBT-Light" w:cs="FuturaBT-Light"/>
                <w:color w:val="3366FF"/>
                <w:sz w:val="28"/>
                <w:szCs w:val="28"/>
                <w:lang w:eastAsia="fr-FR"/>
              </w:rPr>
              <w:t>2 -</w:t>
            </w:r>
            <w:r w:rsidR="006A25D3" w:rsidRPr="004344D6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Ne pas « prêter » s</w:t>
            </w:r>
            <w:r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>es identifiants / mot de passe.</w:t>
            </w:r>
          </w:p>
          <w:p w14:paraId="51CE8D17" w14:textId="77777777" w:rsidR="006A25D3" w:rsidRPr="00CB479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right="311"/>
              <w:rPr>
                <w:rFonts w:ascii="FuturaBT-Light" w:hAnsi="FuturaBT-Light" w:cs="FuturaBT-Light"/>
                <w:sz w:val="26"/>
                <w:szCs w:val="28"/>
                <w:lang w:eastAsia="fr-FR"/>
              </w:rPr>
            </w:pPr>
          </w:p>
          <w:p w14:paraId="7C078903" w14:textId="77777777" w:rsidR="006A25D3" w:rsidRPr="004344D6" w:rsidRDefault="006A25D3" w:rsidP="00CB479A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left="318" w:right="311" w:hanging="318"/>
              <w:jc w:val="left"/>
              <w:rPr>
                <w:rFonts w:ascii="FuturaBT-Light" w:hAnsi="FuturaBT-Light" w:cs="FuturaBT-Light"/>
                <w:sz w:val="28"/>
                <w:szCs w:val="28"/>
                <w:lang w:eastAsia="fr-FR"/>
              </w:rPr>
            </w:pPr>
            <w:r w:rsidRPr="004344D6">
              <w:rPr>
                <w:rFonts w:ascii="FuturaBT-Light" w:hAnsi="FuturaBT-Light" w:cs="FuturaBT-Light"/>
                <w:color w:val="3366FF"/>
                <w:sz w:val="28"/>
                <w:szCs w:val="28"/>
                <w:lang w:eastAsia="fr-FR"/>
              </w:rPr>
              <w:t xml:space="preserve">3 </w:t>
            </w:r>
            <w:r w:rsidR="005157B9">
              <w:rPr>
                <w:rFonts w:ascii="FuturaBT-Light" w:hAnsi="FuturaBT-Light" w:cs="FuturaBT-Light"/>
                <w:color w:val="3366FF"/>
                <w:sz w:val="28"/>
                <w:szCs w:val="28"/>
                <w:lang w:eastAsia="fr-FR"/>
              </w:rPr>
              <w:t>-</w:t>
            </w:r>
            <w:r w:rsidRPr="004344D6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Ne pas connecter d’équipements externes non contrôlés et non prévus pour la maintenance sur les équipements du </w:t>
            </w:r>
            <w:r w:rsidR="00C91CBD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>SI INDUS</w:t>
            </w:r>
            <w:r w:rsidR="005157B9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>.</w:t>
            </w:r>
          </w:p>
          <w:p w14:paraId="48203A3D" w14:textId="77777777" w:rsidR="006A25D3" w:rsidRPr="00CB479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right="311"/>
              <w:rPr>
                <w:rFonts w:ascii="FuturaBT-Light" w:hAnsi="FuturaBT-Light" w:cs="FuturaBT-Light"/>
                <w:sz w:val="26"/>
                <w:szCs w:val="28"/>
                <w:lang w:eastAsia="fr-FR"/>
              </w:rPr>
            </w:pPr>
          </w:p>
          <w:p w14:paraId="176723A2" w14:textId="77777777" w:rsidR="006A25D3" w:rsidRPr="004344D6" w:rsidRDefault="005157B9" w:rsidP="00CB479A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left="318" w:right="311" w:hanging="318"/>
              <w:jc w:val="left"/>
              <w:rPr>
                <w:rFonts w:ascii="FuturaBT-Light" w:hAnsi="FuturaBT-Light" w:cs="FuturaBT-Light"/>
                <w:sz w:val="28"/>
                <w:szCs w:val="28"/>
                <w:lang w:eastAsia="fr-FR"/>
              </w:rPr>
            </w:pPr>
            <w:r>
              <w:rPr>
                <w:rFonts w:ascii="FuturaBT-Light" w:hAnsi="FuturaBT-Light" w:cs="FuturaBT-Light"/>
                <w:color w:val="3366FF"/>
                <w:sz w:val="28"/>
                <w:szCs w:val="28"/>
                <w:lang w:eastAsia="fr-FR"/>
              </w:rPr>
              <w:t>4 -</w:t>
            </w:r>
            <w:r w:rsidR="006A25D3" w:rsidRPr="004344D6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Utiliser les SAS ANTIVIRUS pour importer ou exporter des donn</w:t>
            </w:r>
            <w:r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>ées depuis ou vers l’extérieur.</w:t>
            </w:r>
          </w:p>
          <w:p w14:paraId="6ACEBFC9" w14:textId="77777777" w:rsidR="006A25D3" w:rsidRPr="00CB479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right="311"/>
              <w:rPr>
                <w:rFonts w:ascii="FuturaBT-Light" w:hAnsi="FuturaBT-Light" w:cs="FuturaBT-Light"/>
                <w:sz w:val="26"/>
                <w:szCs w:val="28"/>
                <w:lang w:eastAsia="fr-FR"/>
              </w:rPr>
            </w:pPr>
          </w:p>
          <w:p w14:paraId="18A07C3B" w14:textId="77777777" w:rsidR="006A25D3" w:rsidRPr="004344D6" w:rsidRDefault="005157B9" w:rsidP="00CB479A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left="318" w:right="311" w:hanging="318"/>
              <w:rPr>
                <w:rFonts w:ascii="FuturaBT-Light" w:hAnsi="FuturaBT-Light" w:cs="FuturaBT-Light"/>
                <w:sz w:val="28"/>
                <w:szCs w:val="28"/>
                <w:lang w:eastAsia="fr-FR"/>
              </w:rPr>
            </w:pPr>
            <w:r>
              <w:rPr>
                <w:rFonts w:ascii="FuturaBT-Light" w:hAnsi="FuturaBT-Light" w:cs="FuturaBT-Light"/>
                <w:color w:val="3366FF"/>
                <w:sz w:val="28"/>
                <w:szCs w:val="28"/>
                <w:lang w:eastAsia="fr-FR"/>
              </w:rPr>
              <w:t>5 -</w:t>
            </w:r>
            <w:r w:rsidR="006A25D3" w:rsidRPr="004344D6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Limiter les connexions des consoles de programmation et de maintenance sur d’autres réseaux que ceux des S</w:t>
            </w:r>
            <w:r w:rsidR="00C91CBD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>I INDUS</w:t>
            </w:r>
            <w:r w:rsidR="006A25D3" w:rsidRPr="004344D6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. </w:t>
            </w:r>
            <w:r w:rsidR="006A25D3" w:rsidRPr="004344D6">
              <w:rPr>
                <w:rFonts w:ascii="FuturaBT-Light" w:hAnsi="FuturaBT-Light" w:cs="FuturaBT-Light"/>
                <w:sz w:val="28"/>
                <w:szCs w:val="28"/>
                <w:u w:val="single"/>
                <w:lang w:eastAsia="fr-FR"/>
              </w:rPr>
              <w:t xml:space="preserve">L’idéal est de dédier un matériel de maintenance à un </w:t>
            </w:r>
            <w:r>
              <w:rPr>
                <w:rFonts w:ascii="FuturaBT-Light" w:hAnsi="FuturaBT-Light" w:cs="FuturaBT-Light"/>
                <w:sz w:val="28"/>
                <w:szCs w:val="28"/>
                <w:u w:val="single"/>
                <w:lang w:eastAsia="fr-FR"/>
              </w:rPr>
              <w:t>SYSTEME</w:t>
            </w:r>
            <w:r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>.</w:t>
            </w:r>
          </w:p>
          <w:p w14:paraId="5FCAA0CC" w14:textId="77777777" w:rsidR="006A25D3" w:rsidRPr="00CB479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right="311"/>
              <w:rPr>
                <w:rFonts w:ascii="FuturaBT-Light" w:hAnsi="FuturaBT-Light" w:cs="FuturaBT-Light"/>
                <w:sz w:val="26"/>
                <w:szCs w:val="28"/>
                <w:lang w:eastAsia="fr-FR"/>
              </w:rPr>
            </w:pPr>
          </w:p>
          <w:p w14:paraId="7B87A93E" w14:textId="77777777" w:rsidR="006A25D3" w:rsidRPr="004344D6" w:rsidRDefault="005157B9" w:rsidP="00CB479A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left="318" w:right="311" w:hanging="318"/>
              <w:jc w:val="left"/>
              <w:rPr>
                <w:rFonts w:ascii="FuturaBT-Light" w:hAnsi="FuturaBT-Light" w:cs="FuturaBT-Light"/>
                <w:sz w:val="28"/>
                <w:szCs w:val="28"/>
                <w:lang w:eastAsia="fr-FR"/>
              </w:rPr>
            </w:pPr>
            <w:r>
              <w:rPr>
                <w:rFonts w:ascii="FuturaBT-Light" w:hAnsi="FuturaBT-Light" w:cs="FuturaBT-Light"/>
                <w:color w:val="3366FF"/>
                <w:sz w:val="28"/>
                <w:szCs w:val="28"/>
                <w:lang w:eastAsia="fr-FR"/>
              </w:rPr>
              <w:t>6 -</w:t>
            </w:r>
            <w:r w:rsidR="006A25D3" w:rsidRPr="004344D6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Ne pas conserver de données sur les stations et consoles de programmation qui sont dédiées à des systèmes extérieurs à la base. </w:t>
            </w:r>
          </w:p>
          <w:p w14:paraId="1E74A863" w14:textId="77777777" w:rsidR="006A25D3" w:rsidRPr="00CB479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right="311"/>
              <w:rPr>
                <w:rFonts w:ascii="FuturaBT-Light" w:hAnsi="FuturaBT-Light" w:cs="FuturaBT-Light"/>
                <w:sz w:val="26"/>
                <w:szCs w:val="28"/>
                <w:lang w:eastAsia="fr-FR"/>
              </w:rPr>
            </w:pPr>
          </w:p>
          <w:p w14:paraId="7C6C90FD" w14:textId="77777777" w:rsidR="006A25D3" w:rsidRPr="004344D6" w:rsidRDefault="005157B9" w:rsidP="00CB479A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left="318" w:right="311" w:hanging="318"/>
              <w:jc w:val="left"/>
              <w:rPr>
                <w:rFonts w:ascii="FuturaBT-Light" w:hAnsi="FuturaBT-Light" w:cs="FuturaBT-Light"/>
                <w:sz w:val="28"/>
                <w:szCs w:val="28"/>
                <w:lang w:eastAsia="fr-FR"/>
              </w:rPr>
            </w:pPr>
            <w:r>
              <w:rPr>
                <w:rFonts w:ascii="FuturaBT-Light" w:hAnsi="FuturaBT-Light" w:cs="FuturaBT-Light"/>
                <w:color w:val="3366FF"/>
                <w:sz w:val="28"/>
                <w:szCs w:val="28"/>
                <w:lang w:eastAsia="fr-FR"/>
              </w:rPr>
              <w:t>7 -</w:t>
            </w:r>
            <w:r w:rsidR="006A25D3" w:rsidRPr="004344D6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Refermer à clés les armoires PLC (Programmable Logic Controler), compartiments courants faibles et baies de brassage après les interventions</w:t>
            </w:r>
            <w:r w:rsidR="005677A1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et ranger les clefs dans le tableau prévu </w:t>
            </w:r>
            <w:r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>à</w:t>
            </w:r>
            <w:r w:rsidR="005677A1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cet effet</w:t>
            </w:r>
            <w:r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>.</w:t>
            </w:r>
          </w:p>
          <w:p w14:paraId="6C032E7F" w14:textId="77777777" w:rsidR="006A25D3" w:rsidRPr="00CB479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right="311"/>
              <w:rPr>
                <w:rFonts w:ascii="FuturaBT-Light" w:hAnsi="FuturaBT-Light" w:cs="FuturaBT-Light"/>
                <w:color w:val="3366FF"/>
                <w:sz w:val="26"/>
                <w:szCs w:val="28"/>
                <w:lang w:eastAsia="fr-FR"/>
              </w:rPr>
            </w:pPr>
          </w:p>
          <w:p w14:paraId="511BB040" w14:textId="77777777" w:rsidR="006A25D3" w:rsidRPr="004344D6" w:rsidRDefault="005157B9" w:rsidP="00CB479A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left="318" w:right="311" w:hanging="318"/>
              <w:jc w:val="left"/>
              <w:rPr>
                <w:rFonts w:ascii="FuturaBT-Light" w:hAnsi="FuturaBT-Light" w:cs="FuturaBT-Light"/>
                <w:sz w:val="28"/>
                <w:szCs w:val="28"/>
                <w:lang w:eastAsia="fr-FR"/>
              </w:rPr>
            </w:pPr>
            <w:r>
              <w:rPr>
                <w:rFonts w:ascii="FuturaBT-Light" w:hAnsi="FuturaBT-Light" w:cs="FuturaBT-Light"/>
                <w:color w:val="3366FF"/>
                <w:sz w:val="28"/>
                <w:szCs w:val="28"/>
                <w:lang w:eastAsia="fr-FR"/>
              </w:rPr>
              <w:t>8 -</w:t>
            </w:r>
            <w:r w:rsidR="006A25D3" w:rsidRPr="004344D6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Ne pas redémarrer un équipement défaillant (station SCADA, OP, PLC…) sans l</w:t>
            </w:r>
            <w:r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>’intervention d’un spécialiste.</w:t>
            </w:r>
          </w:p>
          <w:p w14:paraId="2E4579AB" w14:textId="77777777" w:rsidR="006A25D3" w:rsidRPr="00CB479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right="311"/>
              <w:rPr>
                <w:rFonts w:ascii="FuturaBT-Light" w:hAnsi="FuturaBT-Light" w:cs="FuturaBT-Light"/>
                <w:color w:val="3366FF"/>
                <w:sz w:val="26"/>
                <w:szCs w:val="28"/>
                <w:lang w:eastAsia="fr-FR"/>
              </w:rPr>
            </w:pPr>
          </w:p>
          <w:p w14:paraId="3A59569C" w14:textId="77777777" w:rsidR="006A25D3" w:rsidRPr="004344D6" w:rsidRDefault="005157B9" w:rsidP="00CB479A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left="318" w:right="311" w:hanging="318"/>
              <w:jc w:val="left"/>
              <w:rPr>
                <w:rFonts w:ascii="FuturaBT-Light" w:hAnsi="FuturaBT-Light" w:cs="FuturaBT-Light"/>
                <w:sz w:val="28"/>
                <w:szCs w:val="28"/>
                <w:lang w:eastAsia="fr-FR"/>
              </w:rPr>
            </w:pPr>
            <w:r>
              <w:rPr>
                <w:rFonts w:ascii="FuturaBT-Light" w:hAnsi="FuturaBT-Light" w:cs="FuturaBT-Light"/>
                <w:color w:val="3366FF"/>
                <w:sz w:val="28"/>
                <w:szCs w:val="28"/>
                <w:lang w:eastAsia="fr-FR"/>
              </w:rPr>
              <w:t>9 -</w:t>
            </w:r>
            <w:r w:rsidR="006A25D3" w:rsidRPr="004344D6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Ne pas connecter d’équipeme</w:t>
            </w:r>
            <w:r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>nt non sûr sur le réseau SCADA.</w:t>
            </w:r>
          </w:p>
          <w:p w14:paraId="105C6F13" w14:textId="77777777" w:rsidR="006A25D3" w:rsidRPr="00CB479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right="311"/>
              <w:rPr>
                <w:rFonts w:ascii="FuturaBT-Light" w:hAnsi="FuturaBT-Light" w:cs="FuturaBT-Light"/>
                <w:color w:val="3366FF"/>
                <w:sz w:val="26"/>
                <w:szCs w:val="28"/>
                <w:lang w:eastAsia="fr-FR"/>
              </w:rPr>
            </w:pPr>
            <w:bookmarkStart w:id="0" w:name="_GoBack"/>
            <w:bookmarkEnd w:id="0"/>
          </w:p>
          <w:p w14:paraId="451DDB8F" w14:textId="376E0390" w:rsidR="006A25D3" w:rsidRPr="004344D6" w:rsidRDefault="006A25D3" w:rsidP="00CB479A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left="318" w:right="311" w:hanging="318"/>
              <w:jc w:val="left"/>
              <w:rPr>
                <w:rFonts w:ascii="FuturaBT-Light" w:hAnsi="FuturaBT-Light" w:cs="FuturaBT-Light"/>
                <w:sz w:val="28"/>
                <w:szCs w:val="28"/>
                <w:lang w:eastAsia="fr-FR"/>
              </w:rPr>
            </w:pPr>
            <w:r w:rsidRPr="004344D6">
              <w:rPr>
                <w:rFonts w:ascii="FuturaBT-Light" w:hAnsi="FuturaBT-Light" w:cs="FuturaBT-Light"/>
                <w:color w:val="3366FF"/>
                <w:sz w:val="28"/>
                <w:szCs w:val="28"/>
                <w:lang w:eastAsia="fr-FR"/>
              </w:rPr>
              <w:t xml:space="preserve">10 </w:t>
            </w:r>
            <w:r w:rsidR="005157B9">
              <w:rPr>
                <w:rFonts w:ascii="FuturaBT-Light" w:hAnsi="FuturaBT-Light" w:cs="FuturaBT-Light"/>
                <w:color w:val="3366FF"/>
                <w:sz w:val="28"/>
                <w:szCs w:val="28"/>
                <w:lang w:eastAsia="fr-FR"/>
              </w:rPr>
              <w:t>-</w:t>
            </w:r>
            <w:r w:rsidRPr="004344D6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Signaler toute situation anormale au r</w:t>
            </w:r>
            <w:r w:rsidR="005157B9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>esponsable d’exploitation du SI et</w:t>
            </w:r>
            <w:r w:rsidR="00852190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à l’OSSI du SID Atlantique</w:t>
            </w:r>
            <w:r w:rsidR="00B03776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 à l’adresse suivante :</w:t>
            </w:r>
          </w:p>
          <w:p w14:paraId="3E8B749C" w14:textId="77777777" w:rsidR="004344D6" w:rsidRPr="00CB479A" w:rsidRDefault="004344D6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right="311"/>
              <w:rPr>
                <w:rFonts w:ascii="FuturaBT-Light" w:hAnsi="FuturaBT-Light" w:cs="FuturaBT-Light"/>
                <w:szCs w:val="24"/>
                <w:lang w:eastAsia="fr-FR"/>
              </w:rPr>
            </w:pPr>
          </w:p>
          <w:p w14:paraId="4AF11C04" w14:textId="37ACAA7A" w:rsidR="006A25D3" w:rsidRDefault="004344D6" w:rsidP="00B03776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left="174"/>
              <w:rPr>
                <w:rFonts w:ascii="FuturaBT-Heavy" w:hAnsi="FuturaBT-Heavy"/>
                <w:color w:val="000073"/>
                <w:sz w:val="26"/>
                <w:lang w:eastAsia="fr-FR"/>
              </w:rPr>
            </w:pPr>
            <w:r w:rsidRPr="004344D6">
              <w:rPr>
                <w:rFonts w:ascii="FuturaBT-Light" w:hAnsi="FuturaBT-Light" w:cs="FuturaBT-Light"/>
                <w:sz w:val="28"/>
                <w:szCs w:val="28"/>
                <w:lang w:eastAsia="fr-FR"/>
              </w:rPr>
              <w:t xml:space="preserve">Point de contact : </w:t>
            </w:r>
            <w:r w:rsidR="00B03776" w:rsidRPr="00B03776">
              <w:rPr>
                <w:rFonts w:ascii="FuturaBT-Heavy" w:hAnsi="FuturaBT-Heavy"/>
                <w:color w:val="000073"/>
                <w:sz w:val="26"/>
                <w:lang w:eastAsia="fr-FR"/>
              </w:rPr>
              <w:t>sid-atlantique.cssi.fct@intradef.gouv.fr</w:t>
            </w:r>
          </w:p>
          <w:p w14:paraId="07056628" w14:textId="08E5E44D" w:rsidR="00B03776" w:rsidRPr="004344D6" w:rsidRDefault="00B03776" w:rsidP="00B03776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ind w:left="316" w:right="311"/>
              <w:rPr>
                <w:rFonts w:ascii="FuturaBT-Heavy" w:hAnsi="FuturaBT-Heavy"/>
                <w:color w:val="000073"/>
                <w:sz w:val="30"/>
                <w:lang w:eastAsia="fr-FR"/>
              </w:rPr>
            </w:pPr>
            <w:r>
              <w:rPr>
                <w:rFonts w:ascii="FuturaBT-Heavy" w:hAnsi="FuturaBT-Heavy"/>
                <w:color w:val="000073"/>
                <w:sz w:val="30"/>
                <w:lang w:eastAsia="fr-FR"/>
              </w:rPr>
              <w:t xml:space="preserve">                         </w:t>
            </w:r>
            <w:r>
              <w:rPr>
                <w:rFonts w:ascii="FuturaBT-Heavy" w:hAnsi="FuturaBT-Heavy"/>
                <w:color w:val="000073"/>
                <w:sz w:val="26"/>
                <w:lang w:eastAsia="fr-FR"/>
              </w:rPr>
              <w:t>s</w:t>
            </w:r>
            <w:r w:rsidRPr="00B03776">
              <w:rPr>
                <w:rFonts w:ascii="FuturaBT-Heavy" w:hAnsi="FuturaBT-Heavy"/>
                <w:color w:val="000073"/>
                <w:sz w:val="26"/>
                <w:lang w:eastAsia="fr-FR"/>
              </w:rPr>
              <w:t>id-</w:t>
            </w:r>
            <w:r>
              <w:rPr>
                <w:rFonts w:ascii="FuturaBT-Heavy" w:hAnsi="FuturaBT-Heavy"/>
                <w:color w:val="000073"/>
                <w:sz w:val="26"/>
                <w:lang w:eastAsia="fr-FR"/>
              </w:rPr>
              <w:t>a</w:t>
            </w:r>
            <w:r w:rsidRPr="00B03776">
              <w:rPr>
                <w:rFonts w:ascii="FuturaBT-Heavy" w:hAnsi="FuturaBT-Heavy"/>
                <w:color w:val="000073"/>
                <w:sz w:val="26"/>
                <w:lang w:eastAsia="fr-FR"/>
              </w:rPr>
              <w:t>tlantique.cyber.fct@intradef.gouv.fr</w:t>
            </w:r>
          </w:p>
        </w:tc>
        <w:tc>
          <w:tcPr>
            <w:tcW w:w="2733" w:type="dxa"/>
            <w:shd w:val="clear" w:color="auto" w:fill="000000" w:themeFill="text1"/>
          </w:tcPr>
          <w:p w14:paraId="752CCC11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529DA993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057F60EB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  <w:r w:rsidRPr="007A57DA"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  <w:t>CETTE LISTE DE REGLES EST A AFFICHER DANS LES CENTRES D’EXPLOITATION ET DANS TOUTES LES ZONES OU SONT PRESENTS DES SCADA OU DES AUTOMATES</w:t>
            </w:r>
          </w:p>
          <w:p w14:paraId="02B5DC29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15CBBAA2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43C39300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40EB2FAE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19910765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6BD577B8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775EB95D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07FA17CE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206FE66C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7FE773A1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6D4BE2BE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13468B96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1465B703" w14:textId="77777777" w:rsidR="006A25D3" w:rsidRPr="007A57DA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</w:tc>
      </w:tr>
      <w:tr w:rsidR="006A25D3" w14:paraId="64DC8072" w14:textId="77777777" w:rsidTr="006A25D3">
        <w:tc>
          <w:tcPr>
            <w:tcW w:w="7655" w:type="dxa"/>
            <w:vMerge/>
          </w:tcPr>
          <w:p w14:paraId="083FE0F2" w14:textId="77777777" w:rsidR="006A25D3" w:rsidRDefault="006A25D3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Heavy" w:hAnsi="FuturaBT-Heavy"/>
                <w:color w:val="000073"/>
                <w:sz w:val="30"/>
                <w:lang w:eastAsia="fr-FR"/>
              </w:rPr>
            </w:pPr>
          </w:p>
        </w:tc>
        <w:tc>
          <w:tcPr>
            <w:tcW w:w="2733" w:type="dxa"/>
            <w:shd w:val="clear" w:color="auto" w:fill="C00000"/>
          </w:tcPr>
          <w:p w14:paraId="15A5579E" w14:textId="77777777" w:rsidR="001B14A9" w:rsidRDefault="001B14A9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sz w:val="30"/>
                <w:szCs w:val="30"/>
                <w:lang w:eastAsia="fr-FR"/>
              </w:rPr>
            </w:pPr>
          </w:p>
          <w:p w14:paraId="031F089E" w14:textId="77777777" w:rsidR="004344D6" w:rsidRDefault="004344D6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</w:p>
          <w:p w14:paraId="589A3C0F" w14:textId="77777777" w:rsidR="006A25D3" w:rsidRDefault="001B14A9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</w:pPr>
            <w:r w:rsidRPr="001B14A9">
              <w:rPr>
                <w:rFonts w:ascii="FuturaBT-Light" w:hAnsi="FuturaBT-Light" w:cs="FuturaBT-Light"/>
                <w:b/>
                <w:sz w:val="30"/>
                <w:szCs w:val="30"/>
                <w:lang w:eastAsia="fr-FR"/>
              </w:rPr>
              <w:t>EN CAS DE DOUTE S’ADRESSER A SON RESPONSABLE HIERARCHIQUE OU L’OSSI DE L’ESID Brest</w:t>
            </w:r>
          </w:p>
          <w:p w14:paraId="2FFF012A" w14:textId="77777777" w:rsidR="004344D6" w:rsidRPr="001B14A9" w:rsidRDefault="004344D6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Heavy" w:hAnsi="FuturaBT-Heavy"/>
                <w:b/>
                <w:color w:val="000073"/>
                <w:sz w:val="30"/>
                <w:lang w:eastAsia="fr-FR"/>
              </w:rPr>
            </w:pPr>
          </w:p>
        </w:tc>
      </w:tr>
      <w:tr w:rsidR="001B14A9" w14:paraId="322B69B4" w14:textId="77777777" w:rsidTr="006A25D3">
        <w:tc>
          <w:tcPr>
            <w:tcW w:w="7655" w:type="dxa"/>
          </w:tcPr>
          <w:p w14:paraId="7A388D99" w14:textId="3FBB7F4D" w:rsidR="001B14A9" w:rsidRDefault="001B14A9" w:rsidP="001B14A9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rPr>
                <w:rFonts w:ascii="FuturaBT-Heavy" w:hAnsi="FuturaBT-Heavy"/>
                <w:color w:val="000073"/>
                <w:sz w:val="30"/>
                <w:lang w:eastAsia="fr-FR"/>
              </w:rPr>
            </w:pPr>
          </w:p>
        </w:tc>
        <w:tc>
          <w:tcPr>
            <w:tcW w:w="2733" w:type="dxa"/>
            <w:shd w:val="clear" w:color="auto" w:fill="C00000"/>
          </w:tcPr>
          <w:p w14:paraId="669D0DE8" w14:textId="77777777" w:rsidR="001B14A9" w:rsidRDefault="001B14A9" w:rsidP="006A25D3">
            <w:pPr>
              <w:tabs>
                <w:tab w:val="clear" w:pos="567"/>
                <w:tab w:val="clear" w:pos="113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FuturaBT-Light" w:hAnsi="FuturaBT-Light" w:cs="FuturaBT-Light"/>
                <w:sz w:val="30"/>
                <w:szCs w:val="30"/>
                <w:lang w:eastAsia="fr-FR"/>
              </w:rPr>
            </w:pPr>
          </w:p>
        </w:tc>
      </w:tr>
    </w:tbl>
    <w:p w14:paraId="4682F1DC" w14:textId="77777777" w:rsidR="006A25D3" w:rsidRPr="006A25D3" w:rsidRDefault="006A25D3" w:rsidP="006A25D3">
      <w:pPr>
        <w:tabs>
          <w:tab w:val="clear" w:pos="567"/>
          <w:tab w:val="clear" w:pos="1134"/>
        </w:tabs>
        <w:autoSpaceDE w:val="0"/>
        <w:autoSpaceDN w:val="0"/>
        <w:adjustRightInd w:val="0"/>
        <w:spacing w:after="0"/>
        <w:rPr>
          <w:rFonts w:ascii="Arial" w:hAnsi="Arial" w:cs="Arial"/>
          <w:sz w:val="2"/>
          <w:szCs w:val="2"/>
          <w:lang w:eastAsia="fr-FR"/>
        </w:rPr>
      </w:pPr>
    </w:p>
    <w:sectPr w:rsidR="006A25D3" w:rsidRPr="006A25D3" w:rsidSect="005157B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BT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BT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32585"/>
    <w:multiLevelType w:val="hybridMultilevel"/>
    <w:tmpl w:val="0A1EA45C"/>
    <w:lvl w:ilvl="0" w:tplc="00DC78A2">
      <w:start w:val="1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5D3"/>
    <w:rsid w:val="001B14A9"/>
    <w:rsid w:val="004344D6"/>
    <w:rsid w:val="005157B9"/>
    <w:rsid w:val="005677A1"/>
    <w:rsid w:val="006A25D3"/>
    <w:rsid w:val="00721C29"/>
    <w:rsid w:val="007A57DA"/>
    <w:rsid w:val="00852190"/>
    <w:rsid w:val="00867B57"/>
    <w:rsid w:val="00B03776"/>
    <w:rsid w:val="00C91CBD"/>
    <w:rsid w:val="00CB479A"/>
    <w:rsid w:val="00E9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68FCA"/>
  <w15:chartTrackingRefBased/>
  <w15:docId w15:val="{01313447-6BC9-4B89-903D-57EFEFF0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5D3"/>
    <w:pPr>
      <w:tabs>
        <w:tab w:val="left" w:pos="567"/>
        <w:tab w:val="left" w:pos="1134"/>
      </w:tabs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autoRedefine/>
    <w:rsid w:val="006A25D3"/>
    <w:pPr>
      <w:spacing w:after="60"/>
    </w:pPr>
    <w:rPr>
      <w:b/>
    </w:rPr>
  </w:style>
  <w:style w:type="table" w:styleId="Grilledutableau">
    <w:name w:val="Table Grid"/>
    <w:basedOn w:val="TableauNormal"/>
    <w:uiPriority w:val="39"/>
    <w:rsid w:val="006A2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037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0BBD256A582D4D8C5C586597A0A9C2" ma:contentTypeVersion="1" ma:contentTypeDescription="Crée un document." ma:contentTypeScope="" ma:versionID="57f6de2f3d1fc038adc3ea34e60513f1">
  <xsd:schema xmlns:xsd="http://www.w3.org/2001/XMLSchema" xmlns:xs="http://www.w3.org/2001/XMLSchema" xmlns:p="http://schemas.microsoft.com/office/2006/metadata/properties" xmlns:ns2="9caae180-b605-4e4e-a202-a564d016d838" targetNamespace="http://schemas.microsoft.com/office/2006/metadata/properties" ma:root="true" ma:fieldsID="8e4fdeda106180d93841852df356cf19" ns2:_="">
    <xsd:import namespace="9caae180-b605-4e4e-a202-a564d016d8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ae180-b605-4e4e-a202-a564d016d8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BE34F-0ECF-42A4-B35E-DF82C071D0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9caae180-b605-4e4e-a202-a564d016d83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53424F-53CB-436B-9263-CE52BF1211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E20CFA-355F-4168-9ADF-F4170CAD6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aae180-b605-4e4e-a202-a564d016d8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9DB60E-05BA-4586-BB21-28606B55D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NEVEU Christophe ICETA2</dc:creator>
  <cp:keywords/>
  <dc:description/>
  <cp:lastModifiedBy>UGUEN Christophe IEF MINDEF</cp:lastModifiedBy>
  <cp:revision>9</cp:revision>
  <dcterms:created xsi:type="dcterms:W3CDTF">2018-08-27T14:59:00Z</dcterms:created>
  <dcterms:modified xsi:type="dcterms:W3CDTF">2025-09-24T12:20:00Z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0x010100F40BBD256A582D4D8C5C586597A0A9C2</vt:lpwstr>
  </property>
</Properties>
</file>